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14548">
      <w:pPr>
        <w:pStyle w:val="13"/>
      </w:pPr>
    </w:p>
    <w:p w14:paraId="7E9B9F7D">
      <w:pPr>
        <w:jc w:val="center"/>
        <w:rPr>
          <w:rFonts w:ascii="华文新魏" w:eastAsia="华文新魏"/>
          <w:sz w:val="44"/>
          <w:szCs w:val="44"/>
        </w:rPr>
      </w:pPr>
    </w:p>
    <w:p w14:paraId="33427CED">
      <w:pPr>
        <w:jc w:val="center"/>
        <w:rPr>
          <w:rFonts w:ascii="华文新魏" w:eastAsia="华文新魏"/>
          <w:sz w:val="44"/>
          <w:szCs w:val="44"/>
        </w:rPr>
      </w:pPr>
    </w:p>
    <w:p w14:paraId="45539E94">
      <w:pPr>
        <w:jc w:val="center"/>
        <w:rPr>
          <w:rFonts w:ascii="华文新魏" w:eastAsia="华文新魏"/>
          <w:sz w:val="52"/>
          <w:szCs w:val="52"/>
        </w:rPr>
      </w:pPr>
      <w:bookmarkStart w:id="0" w:name="OLE_LINK1"/>
      <w:r>
        <w:rPr>
          <w:rFonts w:hint="eastAsia" w:ascii="华文新魏" w:eastAsia="华文新魏"/>
          <w:sz w:val="52"/>
          <w:szCs w:val="52"/>
        </w:rPr>
        <w:t>新华制药（寿光）有限公司</w:t>
      </w:r>
      <w:bookmarkEnd w:id="0"/>
      <w:r>
        <w:rPr>
          <w:rFonts w:hint="eastAsia" w:ascii="华文新魏" w:eastAsia="华文新魏"/>
          <w:sz w:val="52"/>
          <w:szCs w:val="52"/>
        </w:rPr>
        <w:t>15000吨/年紫脲酸系列产品改扩建项目</w:t>
      </w:r>
    </w:p>
    <w:p w14:paraId="1BFFEEF1">
      <w:pPr>
        <w:jc w:val="center"/>
        <w:rPr>
          <w:rFonts w:ascii="华文新魏" w:eastAsia="华文新魏"/>
          <w:sz w:val="52"/>
          <w:szCs w:val="52"/>
        </w:rPr>
      </w:pPr>
      <w:r>
        <w:rPr>
          <w:rFonts w:hint="eastAsia" w:ascii="华文新魏" w:eastAsia="华文新魏"/>
          <w:sz w:val="52"/>
          <w:szCs w:val="52"/>
        </w:rPr>
        <w:t>环境影响评价公众参与说明</w:t>
      </w:r>
    </w:p>
    <w:p w14:paraId="447E6260">
      <w:pPr>
        <w:jc w:val="left"/>
      </w:pPr>
    </w:p>
    <w:p w14:paraId="3F90DA03">
      <w:pPr>
        <w:jc w:val="left"/>
      </w:pPr>
    </w:p>
    <w:p w14:paraId="33087677">
      <w:pPr>
        <w:jc w:val="left"/>
      </w:pPr>
    </w:p>
    <w:p w14:paraId="66B570BF">
      <w:pPr>
        <w:jc w:val="left"/>
      </w:pPr>
    </w:p>
    <w:p w14:paraId="59B32E18">
      <w:pPr>
        <w:jc w:val="left"/>
      </w:pPr>
      <w:r>
        <w:rPr>
          <w:rFonts w:hint="eastAsia"/>
        </w:rPr>
        <w:t xml:space="preserve"> </w:t>
      </w:r>
    </w:p>
    <w:p w14:paraId="49FC3F56">
      <w:pPr>
        <w:jc w:val="left"/>
      </w:pPr>
    </w:p>
    <w:p w14:paraId="6D16A04E">
      <w:pPr>
        <w:jc w:val="left"/>
      </w:pPr>
    </w:p>
    <w:p w14:paraId="1810B6EA">
      <w:pPr>
        <w:jc w:val="left"/>
      </w:pPr>
    </w:p>
    <w:p w14:paraId="5445FC1C">
      <w:pPr>
        <w:jc w:val="left"/>
      </w:pPr>
    </w:p>
    <w:p w14:paraId="1BE5947E">
      <w:pPr>
        <w:jc w:val="left"/>
      </w:pPr>
    </w:p>
    <w:p w14:paraId="517E62D7">
      <w:pPr>
        <w:jc w:val="left"/>
      </w:pPr>
    </w:p>
    <w:p w14:paraId="78A2AD5D">
      <w:pPr>
        <w:jc w:val="left"/>
      </w:pPr>
    </w:p>
    <w:p w14:paraId="13E1D222">
      <w:pPr>
        <w:jc w:val="left"/>
      </w:pPr>
    </w:p>
    <w:p w14:paraId="594713E1">
      <w:pPr>
        <w:jc w:val="left"/>
      </w:pPr>
    </w:p>
    <w:p w14:paraId="16D27B0E">
      <w:pPr>
        <w:jc w:val="left"/>
      </w:pPr>
    </w:p>
    <w:p w14:paraId="23C7732C">
      <w:pPr>
        <w:jc w:val="left"/>
        <w:rPr>
          <w:rFonts w:ascii="华文新魏" w:eastAsia="华文新魏"/>
        </w:rPr>
      </w:pPr>
    </w:p>
    <w:p w14:paraId="359A2378">
      <w:pPr>
        <w:jc w:val="left"/>
        <w:rPr>
          <w:rFonts w:ascii="华文新魏" w:eastAsia="华文新魏"/>
        </w:rPr>
      </w:pPr>
    </w:p>
    <w:p w14:paraId="754F8D2E">
      <w:pPr>
        <w:jc w:val="left"/>
        <w:rPr>
          <w:rFonts w:ascii="华文新魏" w:eastAsia="华文新魏"/>
        </w:rPr>
      </w:pPr>
    </w:p>
    <w:p w14:paraId="07E80EB5">
      <w:pPr>
        <w:jc w:val="left"/>
        <w:rPr>
          <w:rFonts w:ascii="华文新魏" w:eastAsia="华文新魏"/>
        </w:rPr>
      </w:pPr>
    </w:p>
    <w:p w14:paraId="6C88E5EE">
      <w:pPr>
        <w:jc w:val="left"/>
        <w:rPr>
          <w:rFonts w:ascii="华文新魏" w:eastAsia="华文新魏"/>
        </w:rPr>
      </w:pPr>
    </w:p>
    <w:p w14:paraId="717EB563">
      <w:pPr>
        <w:jc w:val="center"/>
        <w:rPr>
          <w:rFonts w:ascii="华文新魏" w:eastAsia="华文新魏"/>
          <w:sz w:val="36"/>
        </w:rPr>
      </w:pPr>
      <w:r>
        <w:rPr>
          <w:rFonts w:hint="eastAsia" w:ascii="华文新魏" w:eastAsia="华文新魏"/>
          <w:sz w:val="36"/>
        </w:rPr>
        <w:t>新华制药（寿光）有限公司</w:t>
      </w:r>
    </w:p>
    <w:p w14:paraId="576F0828">
      <w:pPr>
        <w:jc w:val="center"/>
        <w:rPr>
          <w:rFonts w:hint="eastAsia" w:ascii="华文新魏" w:hAnsi="宋体" w:eastAsia="华文新魏"/>
          <w:bCs/>
          <w:sz w:val="36"/>
          <w:szCs w:val="32"/>
        </w:rPr>
      </w:pPr>
      <w:r>
        <w:rPr>
          <w:rFonts w:hint="eastAsia" w:ascii="华文新魏" w:hAnsi="宋体" w:eastAsia="华文新魏"/>
          <w:sz w:val="36"/>
          <w:szCs w:val="32"/>
        </w:rPr>
        <w:t>编制日期：</w:t>
      </w:r>
      <w:r>
        <w:rPr>
          <w:rFonts w:hint="eastAsia" w:ascii="华文新魏" w:hAnsi="宋体" w:eastAsia="华文新魏"/>
          <w:bCs/>
          <w:sz w:val="36"/>
          <w:szCs w:val="32"/>
        </w:rPr>
        <w:t>20</w:t>
      </w:r>
      <w:r>
        <w:rPr>
          <w:rFonts w:ascii="华文新魏" w:hAnsi="宋体" w:eastAsia="华文新魏"/>
          <w:bCs/>
          <w:sz w:val="36"/>
          <w:szCs w:val="32"/>
        </w:rPr>
        <w:t>2</w:t>
      </w:r>
      <w:r>
        <w:rPr>
          <w:rFonts w:hint="eastAsia" w:ascii="华文新魏" w:hAnsi="宋体" w:eastAsia="华文新魏"/>
          <w:bCs/>
          <w:sz w:val="36"/>
          <w:szCs w:val="32"/>
        </w:rPr>
        <w:t>5</w:t>
      </w:r>
      <w:r>
        <w:rPr>
          <w:rFonts w:hint="eastAsia" w:ascii="华文新魏" w:hAnsi="宋体" w:eastAsia="华文新魏"/>
          <w:sz w:val="36"/>
          <w:szCs w:val="32"/>
        </w:rPr>
        <w:t>年</w:t>
      </w:r>
      <w:r>
        <w:rPr>
          <w:rFonts w:hint="eastAsia" w:ascii="华文新魏" w:hAnsi="宋体" w:eastAsia="华文新魏"/>
          <w:bCs/>
          <w:sz w:val="36"/>
          <w:szCs w:val="32"/>
        </w:rPr>
        <w:t>4</w:t>
      </w:r>
      <w:r>
        <w:rPr>
          <w:rFonts w:hint="eastAsia" w:ascii="华文新魏" w:hAnsi="宋体" w:eastAsia="华文新魏"/>
          <w:sz w:val="36"/>
          <w:szCs w:val="32"/>
        </w:rPr>
        <w:t>月</w:t>
      </w:r>
      <w:r>
        <w:rPr>
          <w:rFonts w:hint="eastAsia" w:ascii="华文新魏" w:hAnsi="宋体" w:eastAsia="华文新魏"/>
          <w:bCs/>
          <w:sz w:val="36"/>
          <w:szCs w:val="32"/>
        </w:rPr>
        <w:t>1</w:t>
      </w:r>
      <w:r>
        <w:rPr>
          <w:rFonts w:hint="eastAsia" w:ascii="华文新魏" w:hAnsi="宋体" w:eastAsia="华文新魏"/>
          <w:bCs/>
          <w:sz w:val="36"/>
          <w:szCs w:val="32"/>
          <w:lang w:val="en-US" w:eastAsia="zh-CN"/>
        </w:rPr>
        <w:t>7</w:t>
      </w:r>
      <w:bookmarkStart w:id="5" w:name="_GoBack"/>
      <w:bookmarkEnd w:id="5"/>
      <w:r>
        <w:rPr>
          <w:rFonts w:hint="eastAsia" w:ascii="华文新魏" w:hAnsi="宋体" w:eastAsia="华文新魏"/>
          <w:sz w:val="36"/>
          <w:szCs w:val="32"/>
        </w:rPr>
        <w:t>日</w:t>
      </w:r>
    </w:p>
    <w:p w14:paraId="5998D892"/>
    <w:p w14:paraId="59437787"/>
    <w:p w14:paraId="1181EECA"/>
    <w:p w14:paraId="17344C87"/>
    <w:p w14:paraId="700300BF">
      <w:pPr>
        <w:widowControl/>
        <w:shd w:val="clear" w:color="auto" w:fill="FFFFFF"/>
        <w:spacing w:line="489" w:lineRule="atLeast"/>
        <w:jc w:val="left"/>
        <w:rPr>
          <w:rFonts w:hint="eastAsia" w:ascii="微软雅黑" w:hAnsi="微软雅黑" w:eastAsia="微软雅黑" w:cs="宋体"/>
          <w:kern w:val="0"/>
          <w:sz w:val="22"/>
          <w:szCs w:val="22"/>
        </w:rPr>
      </w:pPr>
      <w:r>
        <w:rPr>
          <w:rFonts w:hint="eastAsia" w:ascii="微软雅黑" w:hAnsi="微软雅黑" w:eastAsia="微软雅黑" w:cs="宋体"/>
          <w:kern w:val="0"/>
          <w:sz w:val="22"/>
          <w:szCs w:val="22"/>
        </w:rPr>
        <w:t>　</w:t>
      </w:r>
      <w:r>
        <w:rPr>
          <w:rFonts w:hint="eastAsia" w:ascii="微软雅黑" w:hAnsi="微软雅黑" w:eastAsia="微软雅黑" w:cs="宋体"/>
          <w:b/>
          <w:bCs/>
          <w:kern w:val="0"/>
          <w:sz w:val="22"/>
        </w:rPr>
        <w:t xml:space="preserve">　1 概述 </w:t>
      </w:r>
    </w:p>
    <w:p w14:paraId="74236E41">
      <w:pPr>
        <w:widowControl/>
        <w:shd w:val="clear" w:color="auto" w:fill="FFFFFF"/>
        <w:spacing w:line="489" w:lineRule="atLeast"/>
        <w:ind w:firstLine="435"/>
        <w:jc w:val="left"/>
        <w:rPr>
          <w:rFonts w:hint="eastAsia" w:ascii="微软雅黑" w:hAnsi="微软雅黑" w:eastAsia="微软雅黑" w:cs="宋体"/>
          <w:kern w:val="0"/>
          <w:sz w:val="22"/>
          <w:szCs w:val="22"/>
        </w:rPr>
      </w:pPr>
      <w:r>
        <w:rPr>
          <w:rFonts w:hint="eastAsia" w:ascii="微软雅黑" w:hAnsi="微软雅黑" w:eastAsia="微软雅黑" w:cs="宋体"/>
          <w:kern w:val="0"/>
          <w:sz w:val="22"/>
          <w:szCs w:val="22"/>
        </w:rPr>
        <w:t>本次公众参与的目的是通过对新华制药（寿光）有限公司15000吨/年紫脲酸系列产品改扩建项目及所在区域有关环境问题的调查，获取公众对该项目的意见和建议，强化社会监督。</w:t>
      </w:r>
    </w:p>
    <w:p w14:paraId="3E408956">
      <w:pPr>
        <w:widowControl/>
        <w:shd w:val="clear" w:color="auto" w:fill="FFFFFF"/>
        <w:spacing w:line="489" w:lineRule="atLeast"/>
        <w:ind w:firstLine="435"/>
        <w:jc w:val="left"/>
        <w:rPr>
          <w:rFonts w:hint="eastAsia" w:ascii="微软雅黑" w:hAnsi="微软雅黑" w:eastAsia="微软雅黑" w:cs="宋体"/>
          <w:kern w:val="0"/>
          <w:sz w:val="22"/>
          <w:szCs w:val="22"/>
        </w:rPr>
      </w:pPr>
      <w:r>
        <w:rPr>
          <w:rFonts w:hint="eastAsia" w:ascii="微软雅黑" w:hAnsi="微软雅黑" w:eastAsia="微软雅黑" w:cs="宋体"/>
          <w:kern w:val="0"/>
          <w:sz w:val="22"/>
          <w:szCs w:val="22"/>
        </w:rPr>
        <w:t>根据《环境影响评价公众参与办法》要求，调查形式主要包括：张贴信息公告、网站公示、报纸公示、报告书征求意见稿公示、收集调查表等；调查内容主要分为第一次公众参与调查和第二次公众参与调查，具体内容如下。</w:t>
      </w:r>
    </w:p>
    <w:p w14:paraId="4CE17C16">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r>
        <w:rPr>
          <w:rFonts w:hint="eastAsia" w:ascii="微软雅黑" w:hAnsi="微软雅黑" w:eastAsia="微软雅黑" w:cs="宋体"/>
          <w:b/>
          <w:bCs/>
          <w:color w:val="000000"/>
          <w:kern w:val="0"/>
          <w:sz w:val="22"/>
        </w:rPr>
        <w:t xml:space="preserve">　2 首次环境影响评价信息公开情况 </w:t>
      </w:r>
    </w:p>
    <w:p w14:paraId="01623BA7">
      <w:pPr>
        <w:widowControl/>
        <w:shd w:val="clear" w:color="auto" w:fill="FFFFFF"/>
        <w:spacing w:line="489" w:lineRule="atLeast"/>
        <w:jc w:val="left"/>
        <w:outlineLvl w:val="0"/>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r>
        <w:rPr>
          <w:rFonts w:hint="eastAsia" w:ascii="微软雅黑" w:hAnsi="微软雅黑" w:eastAsia="微软雅黑" w:cs="宋体"/>
          <w:b/>
          <w:bCs/>
          <w:color w:val="000000"/>
          <w:kern w:val="0"/>
          <w:sz w:val="22"/>
        </w:rPr>
        <w:t xml:space="preserve">　2.1 公开内容及日期 </w:t>
      </w:r>
    </w:p>
    <w:p w14:paraId="3097191C">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我单位（</w:t>
      </w:r>
      <w:bookmarkStart w:id="1" w:name="_Hlk195254646"/>
      <w:r>
        <w:rPr>
          <w:rFonts w:hint="eastAsia" w:ascii="微软雅黑" w:hAnsi="微软雅黑" w:eastAsia="微软雅黑" w:cs="宋体"/>
          <w:kern w:val="0"/>
          <w:sz w:val="22"/>
          <w:szCs w:val="22"/>
        </w:rPr>
        <w:t>新华制药（寿光）有限公司</w:t>
      </w:r>
      <w:bookmarkEnd w:id="1"/>
      <w:r>
        <w:rPr>
          <w:rFonts w:hint="eastAsia" w:ascii="微软雅黑" w:hAnsi="微软雅黑" w:eastAsia="微软雅黑" w:cs="宋体"/>
          <w:color w:val="000000"/>
          <w:kern w:val="0"/>
          <w:sz w:val="22"/>
          <w:szCs w:val="22"/>
        </w:rPr>
        <w:t>）于2023年10月16日委托环评单位后，于2023年10月18日在公司网站——新华制药（寿光）有限公司网站发布了第一次公众参与公告。</w:t>
      </w:r>
    </w:p>
    <w:p w14:paraId="2FAB1DCB">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xml:space="preserve">    第一次公告内容主要有：建设项目名称及概况、建设单位名称和联系方式、承担评价工作的环评机构的名称和联系方式、环评工作程序和主要工作内容、征求公众意见的主要事项以及公众提出意见的方式等。公开内容及日期符合《环境影响评价公众参与办法》（以下简称《办法》）要求。</w:t>
      </w:r>
    </w:p>
    <w:p w14:paraId="52A2B2D3">
      <w:pPr>
        <w:widowControl/>
        <w:shd w:val="clear" w:color="auto" w:fill="FFFFFF"/>
        <w:spacing w:line="489" w:lineRule="atLeast"/>
        <w:jc w:val="left"/>
        <w:outlineLvl w:val="0"/>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r>
        <w:rPr>
          <w:rFonts w:hint="eastAsia" w:ascii="微软雅黑" w:hAnsi="微软雅黑" w:eastAsia="微软雅黑" w:cs="宋体"/>
          <w:b/>
          <w:bCs/>
          <w:color w:val="000000"/>
          <w:kern w:val="0"/>
          <w:sz w:val="22"/>
        </w:rPr>
        <w:t xml:space="preserve">　2.2 公开方式 </w:t>
      </w:r>
    </w:p>
    <w:p w14:paraId="46B32214">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我单位于2023年10月18日在</w:t>
      </w:r>
      <w:bookmarkStart w:id="2" w:name="_Hlk137218278"/>
      <w:r>
        <w:rPr>
          <w:rFonts w:hint="eastAsia" w:ascii="微软雅黑" w:hAnsi="微软雅黑" w:eastAsia="微软雅黑" w:cs="宋体"/>
          <w:color w:val="000000"/>
          <w:kern w:val="0"/>
          <w:sz w:val="22"/>
          <w:szCs w:val="22"/>
        </w:rPr>
        <w:t>新华制药（寿光）有限公司网站（</w:t>
      </w:r>
      <w:r>
        <w:rPr>
          <w:rFonts w:ascii="微软雅黑" w:hAnsi="微软雅黑" w:eastAsia="微软雅黑" w:cs="宋体"/>
          <w:color w:val="000000"/>
          <w:kern w:val="0"/>
          <w:sz w:val="22"/>
          <w:szCs w:val="22"/>
        </w:rPr>
        <w:t>http://www.xinhuashouguang.cn/news/</w:t>
      </w:r>
      <w:r>
        <w:rPr>
          <w:rFonts w:hint="eastAsia" w:ascii="微软雅黑" w:hAnsi="微软雅黑" w:eastAsia="微软雅黑" w:cs="宋体"/>
          <w:color w:val="000000"/>
          <w:kern w:val="0"/>
          <w:sz w:val="22"/>
          <w:szCs w:val="22"/>
        </w:rPr>
        <w:t>）</w:t>
      </w:r>
      <w:bookmarkEnd w:id="2"/>
      <w:r>
        <w:rPr>
          <w:rFonts w:hint="eastAsia" w:ascii="微软雅黑" w:hAnsi="微软雅黑" w:eastAsia="微软雅黑" w:cs="宋体"/>
          <w:color w:val="000000"/>
          <w:kern w:val="0"/>
          <w:sz w:val="22"/>
          <w:szCs w:val="22"/>
        </w:rPr>
        <w:t>发布了第一次公众参与公告。公示截图如下：</w:t>
      </w:r>
    </w:p>
    <w:p w14:paraId="612F3E1E">
      <w:pPr>
        <w:widowControl/>
        <w:shd w:val="clear" w:color="auto" w:fill="FFFFFF"/>
        <w:spacing w:line="489" w:lineRule="atLeast"/>
        <w:jc w:val="center"/>
        <w:rPr>
          <w:rFonts w:hint="eastAsia" w:ascii="微软雅黑" w:hAnsi="微软雅黑" w:eastAsia="微软雅黑" w:cs="宋体"/>
          <w:color w:val="000000"/>
          <w:kern w:val="0"/>
          <w:sz w:val="22"/>
          <w:szCs w:val="22"/>
        </w:rPr>
      </w:pPr>
      <w:r>
        <w:drawing>
          <wp:inline distT="0" distB="0" distL="0" distR="0">
            <wp:extent cx="5274310" cy="3801745"/>
            <wp:effectExtent l="0" t="0" r="0" b="0"/>
            <wp:docPr id="215992094" name="图片 1" descr="图形用户界面, 文本, 应用程序, 电子邮件,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92094" name="图片 1" descr="图形用户界面, 文本, 应用程序, 电子邮件, 网站&#10;&#10;AI 生成的内容可能不正确。"/>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801745"/>
                    </a:xfrm>
                    <a:prstGeom prst="rect">
                      <a:avLst/>
                    </a:prstGeom>
                    <a:noFill/>
                    <a:ln>
                      <a:noFill/>
                    </a:ln>
                  </pic:spPr>
                </pic:pic>
              </a:graphicData>
            </a:graphic>
          </wp:inline>
        </w:drawing>
      </w:r>
    </w:p>
    <w:p w14:paraId="6C6EF178">
      <w:pPr>
        <w:widowControl/>
        <w:shd w:val="clear" w:color="auto" w:fill="FFFFFF"/>
        <w:spacing w:line="489" w:lineRule="atLeast"/>
        <w:jc w:val="left"/>
        <w:outlineLvl w:val="0"/>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r>
        <w:rPr>
          <w:rFonts w:hint="eastAsia" w:ascii="微软雅黑" w:hAnsi="微软雅黑" w:eastAsia="微软雅黑" w:cs="宋体"/>
          <w:b/>
          <w:bCs/>
          <w:color w:val="000000"/>
          <w:kern w:val="0"/>
          <w:sz w:val="22"/>
        </w:rPr>
        <w:t xml:space="preserve">　2.3 公众意见情况 </w:t>
      </w:r>
    </w:p>
    <w:p w14:paraId="773269FF">
      <w:pPr>
        <w:widowControl/>
        <w:shd w:val="clear" w:color="auto" w:fill="FFFFFF"/>
        <w:spacing w:line="489" w:lineRule="atLeast"/>
        <w:ind w:firstLine="450"/>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xml:space="preserve">首次公告期间，未收到民众的电话、邮件、书面信件或其他任何关于本项目的环境保护方面的反馈意见。 </w:t>
      </w:r>
      <w:r>
        <w:rPr>
          <w:rFonts w:ascii="微软雅黑" w:hAnsi="微软雅黑" w:eastAsia="微软雅黑" w:cs="宋体"/>
          <w:color w:val="000000"/>
          <w:kern w:val="0"/>
          <w:sz w:val="22"/>
          <w:szCs w:val="22"/>
        </w:rPr>
        <w:t xml:space="preserve">   </w:t>
      </w:r>
    </w:p>
    <w:p w14:paraId="3CA8900F">
      <w:pPr>
        <w:widowControl/>
        <w:shd w:val="clear" w:color="auto" w:fill="FFFFFF"/>
        <w:spacing w:line="489" w:lineRule="atLeast"/>
        <w:ind w:firstLine="435"/>
        <w:jc w:val="left"/>
        <w:outlineLvl w:val="0"/>
        <w:rPr>
          <w:rFonts w:hint="eastAsia" w:ascii="微软雅黑" w:hAnsi="微软雅黑" w:eastAsia="微软雅黑" w:cs="宋体"/>
          <w:b/>
          <w:bCs/>
          <w:color w:val="000000"/>
          <w:kern w:val="0"/>
          <w:sz w:val="22"/>
        </w:rPr>
      </w:pPr>
      <w:r>
        <w:rPr>
          <w:rFonts w:hint="eastAsia" w:ascii="微软雅黑" w:hAnsi="微软雅黑" w:eastAsia="微软雅黑" w:cs="宋体"/>
          <w:b/>
          <w:bCs/>
          <w:color w:val="000000"/>
          <w:kern w:val="0"/>
          <w:sz w:val="22"/>
        </w:rPr>
        <w:t xml:space="preserve">3 征求意见稿公示情况 </w:t>
      </w:r>
    </w:p>
    <w:p w14:paraId="29AB641F">
      <w:pPr>
        <w:widowControl/>
        <w:shd w:val="clear" w:color="auto" w:fill="FFFFFF"/>
        <w:spacing w:line="489" w:lineRule="atLeast"/>
        <w:jc w:val="left"/>
        <w:outlineLvl w:val="0"/>
        <w:rPr>
          <w:rFonts w:hint="eastAsia" w:ascii="微软雅黑" w:hAnsi="微软雅黑" w:eastAsia="微软雅黑" w:cs="宋体"/>
          <w:color w:val="000000"/>
          <w:kern w:val="0"/>
          <w:sz w:val="22"/>
          <w:szCs w:val="22"/>
        </w:rPr>
      </w:pPr>
      <w:r>
        <w:rPr>
          <w:rFonts w:hint="eastAsia" w:ascii="微软雅黑" w:hAnsi="微软雅黑" w:eastAsia="微软雅黑" w:cs="宋体"/>
          <w:b/>
          <w:bCs/>
          <w:color w:val="000000"/>
          <w:kern w:val="0"/>
          <w:sz w:val="22"/>
        </w:rPr>
        <w:t xml:space="preserve">　　3.1 公示内容及时限 </w:t>
      </w:r>
    </w:p>
    <w:p w14:paraId="2F2CB67B">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在报告书基本内容编制</w:t>
      </w:r>
      <w:r>
        <w:rPr>
          <w:rFonts w:hint="eastAsia" w:ascii="微软雅黑" w:hAnsi="微软雅黑" w:eastAsia="微软雅黑" w:cs="宋体"/>
          <w:kern w:val="0"/>
          <w:sz w:val="22"/>
          <w:szCs w:val="22"/>
        </w:rPr>
        <w:t>完成以后，我单位于</w:t>
      </w:r>
      <w:bookmarkStart w:id="3" w:name="OLE_LINK2"/>
      <w:r>
        <w:rPr>
          <w:rFonts w:hint="eastAsia" w:ascii="微软雅黑" w:hAnsi="微软雅黑" w:eastAsia="微软雅黑" w:cs="宋体"/>
          <w:kern w:val="0"/>
          <w:sz w:val="22"/>
          <w:szCs w:val="22"/>
        </w:rPr>
        <w:t>2025年3月28日至2025年4月11日</w:t>
      </w:r>
      <w:bookmarkEnd w:id="3"/>
      <w:r>
        <w:rPr>
          <w:rFonts w:hint="eastAsia" w:ascii="微软雅黑" w:hAnsi="微软雅黑" w:eastAsia="微软雅黑" w:cs="宋体"/>
          <w:kern w:val="0"/>
          <w:sz w:val="22"/>
          <w:szCs w:val="22"/>
        </w:rPr>
        <w:t>通过网络、报纸、张贴公告等方式同时进行第二次公众参与公示，公示内容主要包括：</w:t>
      </w:r>
      <w:r>
        <w:rPr>
          <w:rFonts w:hint="eastAsia" w:ascii="MS Gothic" w:hAnsi="MS Gothic" w:eastAsia="MS Gothic" w:cs="MS Gothic"/>
          <w:kern w:val="0"/>
          <w:sz w:val="22"/>
          <w:szCs w:val="22"/>
        </w:rPr>
        <w:t> </w:t>
      </w:r>
      <w:r>
        <w:rPr>
          <w:rFonts w:hint="eastAsia" w:ascii="微软雅黑" w:hAnsi="微软雅黑" w:eastAsia="微软雅黑" w:cs="宋体"/>
          <w:kern w:val="0"/>
          <w:sz w:val="22"/>
          <w:szCs w:val="22"/>
        </w:rPr>
        <w:t>（一）环境影响报告书征求意见稿全文的网络链接</w:t>
      </w:r>
      <w:r>
        <w:rPr>
          <w:rFonts w:hint="eastAsia" w:ascii="微软雅黑" w:hAnsi="微软雅黑" w:eastAsia="微软雅黑" w:cs="宋体"/>
          <w:color w:val="000000"/>
          <w:kern w:val="0"/>
          <w:sz w:val="22"/>
          <w:szCs w:val="22"/>
        </w:rPr>
        <w:t>及查阅纸质报告书的方式和途径；（二）征求意见的公众范围；</w:t>
      </w:r>
      <w:r>
        <w:rPr>
          <w:rFonts w:hint="eastAsia" w:ascii="MS Gothic" w:hAnsi="MS Gothic" w:eastAsia="MS Gothic" w:cs="MS Gothic"/>
          <w:color w:val="000000"/>
          <w:kern w:val="0"/>
          <w:sz w:val="22"/>
          <w:szCs w:val="22"/>
        </w:rPr>
        <w:t> </w:t>
      </w:r>
      <w:r>
        <w:rPr>
          <w:rFonts w:hint="eastAsia" w:ascii="微软雅黑" w:hAnsi="微软雅黑" w:eastAsia="微软雅黑" w:cs="宋体"/>
          <w:color w:val="000000"/>
          <w:kern w:val="0"/>
          <w:sz w:val="22"/>
          <w:szCs w:val="22"/>
        </w:rPr>
        <w:t>（三）公众意见表的网络链接；（四）公众提出意见的方式和途径；（五）公众提出意见的起止时间等，并公开环境影响报告书征求意见稿，公示方式和时间符合《办法》要求。</w:t>
      </w:r>
    </w:p>
    <w:p w14:paraId="61614F85">
      <w:pPr>
        <w:widowControl/>
        <w:shd w:val="clear" w:color="auto" w:fill="FFFFFF"/>
        <w:spacing w:line="489" w:lineRule="atLeast"/>
        <w:jc w:val="left"/>
        <w:outlineLvl w:val="0"/>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r>
        <w:rPr>
          <w:rFonts w:hint="eastAsia" w:ascii="微软雅黑" w:hAnsi="微软雅黑" w:eastAsia="微软雅黑" w:cs="宋体"/>
          <w:b/>
          <w:bCs/>
          <w:color w:val="000000"/>
          <w:kern w:val="0"/>
          <w:sz w:val="22"/>
        </w:rPr>
        <w:t xml:space="preserve">　3.2 公示方式 </w:t>
      </w:r>
    </w:p>
    <w:p w14:paraId="6D347C0D">
      <w:pPr>
        <w:widowControl/>
        <w:shd w:val="clear" w:color="auto" w:fill="FFFFFF"/>
        <w:spacing w:line="489" w:lineRule="atLeast"/>
        <w:jc w:val="left"/>
        <w:outlineLvl w:val="0"/>
        <w:rPr>
          <w:rFonts w:hint="eastAsia" w:ascii="微软雅黑" w:hAnsi="微软雅黑" w:eastAsia="微软雅黑" w:cs="宋体"/>
          <w:color w:val="000000"/>
          <w:kern w:val="0"/>
          <w:sz w:val="22"/>
          <w:szCs w:val="22"/>
        </w:rPr>
      </w:pPr>
      <w:r>
        <w:rPr>
          <w:rFonts w:hint="eastAsia" w:ascii="微软雅黑" w:hAnsi="微软雅黑" w:eastAsia="微软雅黑" w:cs="宋体"/>
          <w:b/>
          <w:bCs/>
          <w:color w:val="000000"/>
          <w:kern w:val="0"/>
          <w:sz w:val="22"/>
        </w:rPr>
        <w:t xml:space="preserve">　　3.2.1 网络 </w:t>
      </w:r>
    </w:p>
    <w:p w14:paraId="1187FDA8">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kern w:val="0"/>
          <w:sz w:val="22"/>
          <w:szCs w:val="22"/>
        </w:rPr>
        <w:t>　　我单位于2025年3月28日在</w:t>
      </w:r>
      <w:r>
        <w:rPr>
          <w:rFonts w:hint="eastAsia" w:ascii="微软雅黑" w:hAnsi="微软雅黑" w:eastAsia="微软雅黑" w:cs="宋体"/>
          <w:color w:val="000000"/>
          <w:kern w:val="0"/>
          <w:sz w:val="22"/>
          <w:szCs w:val="22"/>
        </w:rPr>
        <w:t>新华制药（寿光）有限公司网站（http://www.xinhuashouguang.cn/news/）发布了第二次公众参与公告，并附公众调查表和报告书征求意见稿的链接。公示截图如下：</w:t>
      </w:r>
    </w:p>
    <w:p w14:paraId="291ABE1F">
      <w:pPr>
        <w:widowControl/>
        <w:shd w:val="clear" w:color="auto" w:fill="FFFFFF"/>
        <w:spacing w:line="489" w:lineRule="atLeast"/>
        <w:jc w:val="left"/>
        <w:rPr>
          <w:rFonts w:hint="eastAsia" w:ascii="微软雅黑" w:hAnsi="微软雅黑" w:eastAsia="微软雅黑" w:cs="宋体"/>
          <w:color w:val="000000"/>
          <w:kern w:val="0"/>
          <w:sz w:val="22"/>
          <w:szCs w:val="22"/>
        </w:rPr>
      </w:pPr>
      <w:r>
        <w:drawing>
          <wp:inline distT="0" distB="0" distL="0" distR="0">
            <wp:extent cx="5274310" cy="2695575"/>
            <wp:effectExtent l="0" t="0" r="0" b="0"/>
            <wp:docPr id="288320763" name="图片 2" descr="图形用户界面, 文本, 应用程序, 电子邮件,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0763" name="图片 2" descr="图形用户界面, 文本, 应用程序, 电子邮件, 网站&#10;&#10;AI 生成的内容可能不正确。"/>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695575"/>
                    </a:xfrm>
                    <a:prstGeom prst="rect">
                      <a:avLst/>
                    </a:prstGeom>
                    <a:noFill/>
                    <a:ln>
                      <a:noFill/>
                    </a:ln>
                  </pic:spPr>
                </pic:pic>
              </a:graphicData>
            </a:graphic>
          </wp:inline>
        </w:drawing>
      </w:r>
    </w:p>
    <w:p w14:paraId="01FC658F">
      <w:pPr>
        <w:widowControl/>
        <w:shd w:val="clear" w:color="auto" w:fill="FFFFFF"/>
        <w:spacing w:line="489" w:lineRule="atLeast"/>
        <w:jc w:val="left"/>
        <w:outlineLvl w:val="0"/>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r>
        <w:rPr>
          <w:rFonts w:hint="eastAsia" w:ascii="微软雅黑" w:hAnsi="微软雅黑" w:eastAsia="微软雅黑" w:cs="宋体"/>
          <w:b/>
          <w:bCs/>
          <w:color w:val="000000"/>
          <w:kern w:val="0"/>
          <w:sz w:val="22"/>
        </w:rPr>
        <w:t xml:space="preserve">　3.2.2 报纸 </w:t>
      </w:r>
    </w:p>
    <w:p w14:paraId="4AD0DE90">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kern w:val="0"/>
          <w:sz w:val="22"/>
          <w:szCs w:val="22"/>
        </w:rPr>
        <w:t>　　我单位于2025年4月3日和2025年4月9日在《山东工人报》刊登第二次公众参与</w:t>
      </w:r>
      <w:r>
        <w:rPr>
          <w:rFonts w:hint="eastAsia" w:ascii="微软雅黑" w:hAnsi="微软雅黑" w:eastAsia="微软雅黑" w:cs="宋体"/>
          <w:color w:val="000000"/>
          <w:kern w:val="0"/>
          <w:sz w:val="22"/>
          <w:szCs w:val="22"/>
        </w:rPr>
        <w:t>公告，</w:t>
      </w:r>
      <w:r>
        <w:rPr>
          <w:rFonts w:ascii="微软雅黑" w:hAnsi="微软雅黑" w:eastAsia="微软雅黑" w:cs="宋体"/>
          <w:color w:val="000000"/>
          <w:kern w:val="0"/>
          <w:sz w:val="22"/>
          <w:szCs w:val="22"/>
        </w:rPr>
        <w:t>10</w:t>
      </w:r>
      <w:r>
        <w:rPr>
          <w:rFonts w:hint="eastAsia" w:ascii="微软雅黑" w:hAnsi="微软雅黑" w:eastAsia="微软雅黑" w:cs="宋体"/>
          <w:color w:val="000000"/>
          <w:kern w:val="0"/>
          <w:sz w:val="22"/>
          <w:szCs w:val="22"/>
        </w:rPr>
        <w:t>个工作日内完成两次公示。山东工人报属于当地知名公共纸质媒体，符合《办法》要求。报纸公示照片如下：</w:t>
      </w:r>
    </w:p>
    <w:p w14:paraId="6D781840">
      <w:pPr>
        <w:widowControl/>
        <w:shd w:val="clear" w:color="auto" w:fill="FFFFFF"/>
        <w:spacing w:line="489" w:lineRule="atLeast"/>
        <w:jc w:val="center"/>
        <w:rPr>
          <w:rFonts w:hint="eastAsia" w:ascii="微软雅黑" w:hAnsi="微软雅黑" w:eastAsia="微软雅黑" w:cs="宋体"/>
          <w:color w:val="000000"/>
          <w:kern w:val="0"/>
          <w:sz w:val="22"/>
          <w:szCs w:val="22"/>
        </w:rPr>
      </w:pPr>
      <w:r>
        <w:drawing>
          <wp:inline distT="0" distB="0" distL="0" distR="0">
            <wp:extent cx="5274310" cy="3957320"/>
            <wp:effectExtent l="0" t="666750" r="0" b="633730"/>
            <wp:docPr id="1383366322"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66322" name="图片 3" descr="图示&#10;&#10;AI 生成的内容可能不正确。"/>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5400000">
                      <a:off x="0" y="0"/>
                      <a:ext cx="5274310" cy="3957320"/>
                    </a:xfrm>
                    <a:prstGeom prst="rect">
                      <a:avLst/>
                    </a:prstGeom>
                    <a:noFill/>
                    <a:ln>
                      <a:noFill/>
                    </a:ln>
                  </pic:spPr>
                </pic:pic>
              </a:graphicData>
            </a:graphic>
          </wp:inline>
        </w:drawing>
      </w:r>
    </w:p>
    <w:p w14:paraId="7312C10A">
      <w:pPr>
        <w:widowControl/>
        <w:shd w:val="clear" w:color="auto" w:fill="FFFFFF"/>
        <w:spacing w:line="489" w:lineRule="atLeast"/>
        <w:jc w:val="center"/>
        <w:rPr>
          <w:rFonts w:hint="eastAsia" w:ascii="微软雅黑" w:hAnsi="微软雅黑" w:eastAsia="微软雅黑" w:cs="宋体"/>
          <w:color w:val="000000"/>
          <w:kern w:val="0"/>
          <w:sz w:val="22"/>
          <w:szCs w:val="22"/>
        </w:rPr>
      </w:pPr>
    </w:p>
    <w:p w14:paraId="4977D7F3">
      <w:pPr>
        <w:widowControl/>
        <w:shd w:val="clear" w:color="auto" w:fill="FFFFFF"/>
        <w:spacing w:line="489" w:lineRule="atLeast"/>
        <w:jc w:val="center"/>
        <w:rPr>
          <w:rFonts w:hint="eastAsia" w:ascii="微软雅黑" w:hAnsi="微软雅黑" w:eastAsia="微软雅黑" w:cs="宋体"/>
          <w:color w:val="000000"/>
          <w:kern w:val="0"/>
          <w:sz w:val="22"/>
          <w:szCs w:val="22"/>
        </w:rPr>
      </w:pPr>
      <w:r>
        <w:drawing>
          <wp:inline distT="0" distB="0" distL="0" distR="0">
            <wp:extent cx="5274310" cy="3957320"/>
            <wp:effectExtent l="0" t="666750" r="0" b="633730"/>
            <wp:docPr id="318079930" name="图片 4"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79930" name="图片 4" descr="图片包含 图示&#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5400000">
                      <a:off x="0" y="0"/>
                      <a:ext cx="5274310" cy="3957320"/>
                    </a:xfrm>
                    <a:prstGeom prst="rect">
                      <a:avLst/>
                    </a:prstGeom>
                    <a:noFill/>
                    <a:ln>
                      <a:noFill/>
                    </a:ln>
                  </pic:spPr>
                </pic:pic>
              </a:graphicData>
            </a:graphic>
          </wp:inline>
        </w:drawing>
      </w:r>
    </w:p>
    <w:p w14:paraId="098D1896">
      <w:pPr>
        <w:widowControl/>
        <w:shd w:val="clear" w:color="auto" w:fill="FFFFFF"/>
        <w:spacing w:line="489" w:lineRule="atLeast"/>
        <w:jc w:val="left"/>
        <w:outlineLvl w:val="0"/>
        <w:rPr>
          <w:rFonts w:hint="eastAsia" w:ascii="微软雅黑" w:hAnsi="微软雅黑" w:eastAsia="微软雅黑" w:cs="宋体"/>
          <w:kern w:val="0"/>
          <w:sz w:val="22"/>
          <w:szCs w:val="22"/>
        </w:rPr>
      </w:pPr>
      <w:r>
        <w:rPr>
          <w:rFonts w:hint="eastAsia" w:ascii="微软雅黑" w:hAnsi="微软雅黑" w:eastAsia="微软雅黑" w:cs="宋体"/>
          <w:color w:val="FF0000"/>
          <w:kern w:val="0"/>
          <w:sz w:val="22"/>
          <w:szCs w:val="22"/>
        </w:rPr>
        <w:t>　</w:t>
      </w:r>
      <w:r>
        <w:rPr>
          <w:rFonts w:hint="eastAsia" w:ascii="微软雅黑" w:hAnsi="微软雅黑" w:eastAsia="微软雅黑" w:cs="宋体"/>
          <w:b/>
          <w:bCs/>
          <w:color w:val="FF0000"/>
          <w:kern w:val="0"/>
          <w:sz w:val="22"/>
        </w:rPr>
        <w:t>　</w:t>
      </w:r>
      <w:r>
        <w:rPr>
          <w:rFonts w:hint="eastAsia" w:ascii="微软雅黑" w:hAnsi="微软雅黑" w:eastAsia="微软雅黑" w:cs="宋体"/>
          <w:b/>
          <w:bCs/>
          <w:kern w:val="0"/>
          <w:sz w:val="22"/>
        </w:rPr>
        <w:t>3.2.3 居民点公示</w:t>
      </w:r>
    </w:p>
    <w:p w14:paraId="04F4D5CA">
      <w:pPr>
        <w:widowControl/>
        <w:shd w:val="clear" w:color="auto" w:fill="FFFFFF"/>
        <w:spacing w:line="489" w:lineRule="atLeast"/>
        <w:jc w:val="left"/>
        <w:rPr>
          <w:rFonts w:hint="eastAsia" w:ascii="微软雅黑" w:hAnsi="微软雅黑" w:eastAsia="微软雅黑" w:cs="宋体"/>
          <w:kern w:val="0"/>
          <w:sz w:val="22"/>
          <w:szCs w:val="22"/>
        </w:rPr>
      </w:pPr>
      <w:r>
        <w:rPr>
          <w:rFonts w:hint="eastAsia" w:ascii="微软雅黑" w:hAnsi="微软雅黑" w:eastAsia="微软雅黑" w:cs="宋体"/>
          <w:kern w:val="0"/>
          <w:sz w:val="22"/>
          <w:szCs w:val="22"/>
        </w:rPr>
        <w:t>　　我单位于2025年3月28日至2025年4月11日在项目厂区附近的村庄和厂区内通过公示栏张贴公告的方式向公众公示项目的基本情况，照片如下：</w:t>
      </w:r>
    </w:p>
    <w:p w14:paraId="3FBA48B3">
      <w:pPr>
        <w:widowControl/>
        <w:shd w:val="clear" w:color="auto" w:fill="FFFFFF"/>
        <w:spacing w:line="489" w:lineRule="atLeast"/>
        <w:jc w:val="center"/>
        <w:rPr>
          <w:rFonts w:hint="eastAsia" w:ascii="微软雅黑" w:hAnsi="微软雅黑" w:eastAsia="微软雅黑" w:cs="宋体"/>
          <w:color w:val="FF0000"/>
          <w:kern w:val="0"/>
          <w:sz w:val="22"/>
          <w:szCs w:val="22"/>
        </w:rPr>
      </w:pPr>
    </w:p>
    <w:p w14:paraId="26401C7A">
      <w:pPr>
        <w:widowControl/>
        <w:shd w:val="clear" w:color="auto" w:fill="FFFFFF"/>
        <w:spacing w:line="489" w:lineRule="atLeast"/>
        <w:jc w:val="center"/>
        <w:rPr>
          <w:rFonts w:hint="eastAsia" w:ascii="微软雅黑" w:hAnsi="微软雅黑" w:eastAsia="微软雅黑" w:cs="宋体"/>
          <w:color w:val="FF0000"/>
          <w:kern w:val="0"/>
          <w:sz w:val="22"/>
          <w:szCs w:val="22"/>
          <w:lang w:eastAsia="zh-CN"/>
        </w:rPr>
      </w:pPr>
      <w:r>
        <w:rPr>
          <w:rFonts w:hint="eastAsia" w:ascii="微软雅黑" w:hAnsi="微软雅黑" w:eastAsia="微软雅黑" w:cs="宋体"/>
          <w:color w:val="FF0000"/>
          <w:kern w:val="0"/>
          <w:sz w:val="22"/>
          <w:szCs w:val="22"/>
          <w:lang w:eastAsia="zh-CN"/>
        </w:rPr>
        <w:drawing>
          <wp:inline distT="0" distB="0" distL="114300" distR="114300">
            <wp:extent cx="5253990" cy="3983990"/>
            <wp:effectExtent l="0" t="0" r="3810" b="16510"/>
            <wp:docPr id="2" name="图片 2" descr="微信图片_2025041907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419075239"/>
                    <pic:cNvPicPr>
                      <a:picLocks noChangeAspect="1"/>
                    </pic:cNvPicPr>
                  </pic:nvPicPr>
                  <pic:blipFill>
                    <a:blip r:embed="rId8"/>
                    <a:stretch>
                      <a:fillRect/>
                    </a:stretch>
                  </pic:blipFill>
                  <pic:spPr>
                    <a:xfrm>
                      <a:off x="0" y="0"/>
                      <a:ext cx="5253990" cy="3983990"/>
                    </a:xfrm>
                    <a:prstGeom prst="rect">
                      <a:avLst/>
                    </a:prstGeom>
                  </pic:spPr>
                </pic:pic>
              </a:graphicData>
            </a:graphic>
          </wp:inline>
        </w:drawing>
      </w:r>
    </w:p>
    <w:p w14:paraId="787013B6">
      <w:pPr>
        <w:widowControl/>
        <w:shd w:val="clear" w:color="auto" w:fill="FFFFFF"/>
        <w:spacing w:line="489" w:lineRule="atLeast"/>
        <w:jc w:val="both"/>
        <w:rPr>
          <w:rFonts w:hint="eastAsia" w:ascii="微软雅黑" w:hAnsi="微软雅黑" w:eastAsia="微软雅黑" w:cs="宋体"/>
          <w:color w:val="FF0000"/>
          <w:kern w:val="0"/>
          <w:sz w:val="22"/>
          <w:szCs w:val="22"/>
          <w:lang w:eastAsia="zh-CN"/>
        </w:rPr>
      </w:pPr>
      <w:r>
        <w:rPr>
          <w:rFonts w:hint="eastAsia" w:ascii="微软雅黑" w:hAnsi="微软雅黑" w:eastAsia="微软雅黑" w:cs="宋体"/>
          <w:color w:val="FF0000"/>
          <w:kern w:val="0"/>
          <w:sz w:val="22"/>
          <w:szCs w:val="22"/>
          <w:lang w:eastAsia="zh-CN"/>
        </w:rPr>
        <w:drawing>
          <wp:inline distT="0" distB="0" distL="114300" distR="114300">
            <wp:extent cx="5232400" cy="4088130"/>
            <wp:effectExtent l="0" t="0" r="6350" b="7620"/>
            <wp:docPr id="3" name="图片 3" descr="微信图片_2025041907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419075222"/>
                    <pic:cNvPicPr>
                      <a:picLocks noChangeAspect="1"/>
                    </pic:cNvPicPr>
                  </pic:nvPicPr>
                  <pic:blipFill>
                    <a:blip r:embed="rId9"/>
                    <a:stretch>
                      <a:fillRect/>
                    </a:stretch>
                  </pic:blipFill>
                  <pic:spPr>
                    <a:xfrm>
                      <a:off x="0" y="0"/>
                      <a:ext cx="5232400" cy="4088130"/>
                    </a:xfrm>
                    <a:prstGeom prst="rect">
                      <a:avLst/>
                    </a:prstGeom>
                  </pic:spPr>
                </pic:pic>
              </a:graphicData>
            </a:graphic>
          </wp:inline>
        </w:drawing>
      </w:r>
    </w:p>
    <w:p w14:paraId="6FB402A2">
      <w:pPr>
        <w:widowControl/>
        <w:shd w:val="clear" w:color="auto" w:fill="FFFFFF"/>
        <w:spacing w:line="489" w:lineRule="atLeast"/>
        <w:jc w:val="center"/>
        <w:rPr>
          <w:rFonts w:hint="eastAsia" w:ascii="微软雅黑" w:hAnsi="微软雅黑" w:eastAsia="微软雅黑" w:cs="宋体"/>
          <w:color w:val="FF0000"/>
          <w:kern w:val="0"/>
          <w:sz w:val="22"/>
          <w:szCs w:val="22"/>
        </w:rPr>
      </w:pPr>
      <w:r>
        <w:drawing>
          <wp:inline distT="0" distB="0" distL="0" distR="0">
            <wp:extent cx="5274310" cy="7033895"/>
            <wp:effectExtent l="0" t="0" r="0" b="0"/>
            <wp:docPr id="1102620881" name="图片 6" descr="图片包含 户外, 草, 站, 男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20881" name="图片 6" descr="图片包含 户外, 草, 站, 男人&#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033895"/>
                    </a:xfrm>
                    <a:prstGeom prst="rect">
                      <a:avLst/>
                    </a:prstGeom>
                    <a:noFill/>
                    <a:ln>
                      <a:noFill/>
                    </a:ln>
                  </pic:spPr>
                </pic:pic>
              </a:graphicData>
            </a:graphic>
          </wp:inline>
        </w:drawing>
      </w:r>
    </w:p>
    <w:p w14:paraId="2C43579F">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b/>
          <w:bCs/>
          <w:color w:val="000000"/>
          <w:kern w:val="0"/>
          <w:sz w:val="22"/>
        </w:rPr>
        <w:t xml:space="preserve">　3.3查阅情况 </w:t>
      </w:r>
    </w:p>
    <w:p w14:paraId="2E8531F9">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kern w:val="0"/>
          <w:sz w:val="22"/>
          <w:szCs w:val="22"/>
        </w:rPr>
        <w:t>　　公示期间，我单位在公司厂区接待室设置报告书征求意见稿查阅场所，供公众</w:t>
      </w:r>
      <w:r>
        <w:rPr>
          <w:rFonts w:hint="eastAsia" w:ascii="微软雅黑" w:hAnsi="微软雅黑" w:eastAsia="微软雅黑" w:cs="宋体"/>
          <w:color w:val="000000"/>
          <w:kern w:val="0"/>
          <w:sz w:val="22"/>
          <w:szCs w:val="22"/>
        </w:rPr>
        <w:t>前来查阅。</w:t>
      </w:r>
    </w:p>
    <w:p w14:paraId="46DAF4AC">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r>
        <w:rPr>
          <w:rFonts w:hint="eastAsia" w:ascii="微软雅黑" w:hAnsi="微软雅黑" w:eastAsia="微软雅黑" w:cs="宋体"/>
          <w:b/>
          <w:bCs/>
          <w:color w:val="000000"/>
          <w:kern w:val="0"/>
          <w:sz w:val="22"/>
        </w:rPr>
        <w:t xml:space="preserve">　3.4公众提出意见情况 </w:t>
      </w:r>
    </w:p>
    <w:p w14:paraId="58E954CE">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二次公告期间，未收到民众的电话、邮件、书面信件或其他任何关于本项目的环境保护方面的反馈意见。</w:t>
      </w:r>
    </w:p>
    <w:p w14:paraId="0A675960">
      <w:pPr>
        <w:widowControl/>
        <w:shd w:val="clear" w:color="auto" w:fill="FFFFFF"/>
        <w:spacing w:line="489" w:lineRule="atLeast"/>
        <w:jc w:val="left"/>
        <w:outlineLvl w:val="0"/>
        <w:rPr>
          <w:rFonts w:hint="eastAsia" w:ascii="微软雅黑" w:hAnsi="微软雅黑" w:eastAsia="微软雅黑" w:cs="宋体"/>
          <w:kern w:val="0"/>
          <w:sz w:val="22"/>
          <w:szCs w:val="22"/>
        </w:rPr>
      </w:pPr>
      <w:r>
        <w:rPr>
          <w:rFonts w:hint="eastAsia" w:ascii="微软雅黑" w:hAnsi="微软雅黑" w:eastAsia="微软雅黑" w:cs="宋体"/>
          <w:kern w:val="0"/>
          <w:sz w:val="22"/>
          <w:szCs w:val="22"/>
        </w:rPr>
        <w:t>　</w:t>
      </w:r>
      <w:r>
        <w:rPr>
          <w:rFonts w:hint="eastAsia" w:ascii="微软雅黑" w:hAnsi="微软雅黑" w:eastAsia="微软雅黑" w:cs="宋体"/>
          <w:b/>
          <w:bCs/>
          <w:kern w:val="0"/>
          <w:sz w:val="22"/>
        </w:rPr>
        <w:t xml:space="preserve">　4 公众意见处理情况 </w:t>
      </w:r>
    </w:p>
    <w:p w14:paraId="39DC78FD">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FF0000"/>
          <w:kern w:val="0"/>
          <w:sz w:val="22"/>
          <w:szCs w:val="22"/>
        </w:rPr>
        <w:t xml:space="preserve">    </w:t>
      </w:r>
      <w:r>
        <w:rPr>
          <w:rFonts w:hint="eastAsia" w:ascii="微软雅黑" w:hAnsi="微软雅黑" w:eastAsia="微软雅黑" w:cs="宋体"/>
          <w:color w:val="000000"/>
          <w:kern w:val="0"/>
          <w:sz w:val="22"/>
          <w:szCs w:val="22"/>
        </w:rPr>
        <w:t>两次公示期间，均未收到公众的电话、邮件、书面信件或其他任何关于本项目的环境保护方面的反馈意见。周边被调查公众对项目建设未有反对意见。</w:t>
      </w:r>
    </w:p>
    <w:p w14:paraId="5A1A55D4">
      <w:pPr>
        <w:widowControl/>
        <w:shd w:val="clear" w:color="auto" w:fill="FFFFFF"/>
        <w:spacing w:line="489" w:lineRule="atLeast"/>
        <w:jc w:val="left"/>
        <w:outlineLvl w:val="0"/>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r>
        <w:rPr>
          <w:rFonts w:hint="eastAsia" w:ascii="微软雅黑" w:hAnsi="微软雅黑" w:eastAsia="微软雅黑" w:cs="宋体"/>
          <w:b/>
          <w:bCs/>
          <w:color w:val="000000"/>
          <w:kern w:val="0"/>
          <w:sz w:val="22"/>
        </w:rPr>
        <w:t xml:space="preserve">　5 诚信承诺 </w:t>
      </w:r>
    </w:p>
    <w:p w14:paraId="3F5B90A4">
      <w:pPr>
        <w:widowControl/>
        <w:shd w:val="clear" w:color="auto" w:fill="FFFFFF"/>
        <w:spacing w:line="489" w:lineRule="atLeast"/>
        <w:jc w:val="left"/>
        <w:rPr>
          <w:rFonts w:hint="eastAsia" w:ascii="微软雅黑" w:hAnsi="微软雅黑" w:eastAsia="微软雅黑" w:cs="宋体"/>
          <w:kern w:val="0"/>
          <w:sz w:val="22"/>
          <w:szCs w:val="22"/>
        </w:rPr>
      </w:pPr>
      <w:r>
        <w:rPr>
          <w:rFonts w:hint="eastAsia" w:ascii="微软雅黑" w:hAnsi="微软雅黑" w:eastAsia="微软雅黑" w:cs="宋体"/>
          <w:color w:val="000000"/>
          <w:kern w:val="0"/>
          <w:sz w:val="22"/>
          <w:szCs w:val="22"/>
        </w:rPr>
        <w:t>　　我单位已按照《办法》要求，在</w:t>
      </w:r>
      <w:r>
        <w:rPr>
          <w:rFonts w:hint="eastAsia" w:ascii="微软雅黑" w:hAnsi="微软雅黑" w:eastAsia="微软雅黑" w:cs="宋体"/>
          <w:kern w:val="0"/>
          <w:sz w:val="22"/>
          <w:szCs w:val="22"/>
        </w:rPr>
        <w:t>本项目</w:t>
      </w:r>
      <w:r>
        <w:rPr>
          <w:rFonts w:hint="eastAsia" w:ascii="微软雅黑" w:hAnsi="微软雅黑" w:eastAsia="微软雅黑" w:cs="宋体"/>
          <w:color w:val="000000"/>
          <w:kern w:val="0"/>
          <w:sz w:val="22"/>
          <w:szCs w:val="22"/>
        </w:rPr>
        <w:t>环境影响报告书编制阶段开展了公众参与工作，并按照要求编制了公众参与说明。</w:t>
      </w:r>
    </w:p>
    <w:p w14:paraId="36C8A943">
      <w:pPr>
        <w:widowControl/>
        <w:shd w:val="clear" w:color="auto" w:fill="FFFFFF"/>
        <w:spacing w:line="489" w:lineRule="atLeast"/>
        <w:jc w:val="left"/>
        <w:rPr>
          <w:rFonts w:hint="eastAsia" w:ascii="微软雅黑" w:hAnsi="微软雅黑" w:eastAsia="微软雅黑" w:cs="宋体"/>
          <w:kern w:val="0"/>
          <w:sz w:val="22"/>
          <w:szCs w:val="22"/>
        </w:rPr>
      </w:pPr>
      <w:r>
        <w:rPr>
          <w:rFonts w:hint="eastAsia" w:ascii="微软雅黑" w:hAnsi="微软雅黑" w:eastAsia="微软雅黑" w:cs="宋体"/>
          <w:color w:val="000000"/>
          <w:kern w:val="0"/>
          <w:sz w:val="22"/>
          <w:szCs w:val="22"/>
        </w:rPr>
        <w:t>　　我单位承诺，本次提交的《</w:t>
      </w:r>
      <w:bookmarkStart w:id="4" w:name="_Hlk195255464"/>
      <w:r>
        <w:rPr>
          <w:rFonts w:hint="eastAsia" w:ascii="微软雅黑" w:hAnsi="微软雅黑" w:eastAsia="微软雅黑" w:cs="宋体"/>
          <w:kern w:val="0"/>
          <w:sz w:val="22"/>
          <w:szCs w:val="22"/>
        </w:rPr>
        <w:t>新华制药（寿光）有限公司</w:t>
      </w:r>
      <w:bookmarkEnd w:id="4"/>
      <w:r>
        <w:rPr>
          <w:rFonts w:hint="eastAsia" w:ascii="微软雅黑" w:hAnsi="微软雅黑" w:eastAsia="微软雅黑" w:cs="宋体"/>
          <w:kern w:val="0"/>
          <w:sz w:val="22"/>
          <w:szCs w:val="22"/>
        </w:rPr>
        <w:t>15000吨/年紫脲酸系列产品改扩建项目</w:t>
      </w:r>
      <w:r>
        <w:rPr>
          <w:rFonts w:hint="eastAsia" w:ascii="微软雅黑" w:hAnsi="微软雅黑" w:eastAsia="微软雅黑" w:cs="宋体"/>
          <w:color w:val="000000"/>
          <w:kern w:val="0"/>
          <w:sz w:val="22"/>
          <w:szCs w:val="22"/>
        </w:rPr>
        <w:t>环境影响评价公众参与说明》内容客观、真实，未包含依法不得公开的国家秘密、商业秘密、个人隐私。如存在弄虚作假、隐瞒欺骗等情况及由此导致的一切后果由</w:t>
      </w:r>
      <w:r>
        <w:rPr>
          <w:rFonts w:hint="eastAsia" w:ascii="微软雅黑" w:hAnsi="微软雅黑" w:eastAsia="微软雅黑" w:cs="宋体"/>
          <w:kern w:val="0"/>
          <w:sz w:val="22"/>
          <w:szCs w:val="22"/>
        </w:rPr>
        <w:t>新华制药（寿光）有限公司</w:t>
      </w:r>
      <w:r>
        <w:rPr>
          <w:rFonts w:hint="eastAsia" w:ascii="微软雅黑" w:hAnsi="微软雅黑" w:eastAsia="微软雅黑" w:cs="宋体"/>
          <w:color w:val="000000"/>
          <w:kern w:val="0"/>
          <w:sz w:val="22"/>
          <w:szCs w:val="22"/>
        </w:rPr>
        <w:t>承担全部责任。</w:t>
      </w:r>
    </w:p>
    <w:p w14:paraId="4B124655">
      <w:pPr>
        <w:widowControl/>
        <w:shd w:val="clear" w:color="auto" w:fill="FFFFFF"/>
        <w:spacing w:line="489" w:lineRule="atLeast"/>
        <w:jc w:val="lef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　　</w:t>
      </w:r>
    </w:p>
    <w:p w14:paraId="1721004D">
      <w:pPr>
        <w:widowControl/>
        <w:shd w:val="clear" w:color="auto" w:fill="FFFFFF"/>
        <w:spacing w:line="489" w:lineRule="atLeast"/>
        <w:jc w:val="right"/>
        <w:rPr>
          <w:rFonts w:hint="eastAsia" w:ascii="微软雅黑" w:hAnsi="微软雅黑" w:eastAsia="微软雅黑" w:cs="宋体"/>
          <w:color w:val="000000"/>
          <w:kern w:val="0"/>
          <w:sz w:val="22"/>
          <w:szCs w:val="22"/>
        </w:rPr>
      </w:pPr>
      <w:r>
        <w:rPr>
          <w:rFonts w:hint="eastAsia" w:ascii="微软雅黑" w:hAnsi="微软雅黑" w:eastAsia="微软雅黑" w:cs="宋体"/>
          <w:color w:val="000000"/>
          <w:kern w:val="0"/>
          <w:sz w:val="22"/>
          <w:szCs w:val="22"/>
        </w:rPr>
        <w:t>承诺单位：</w:t>
      </w:r>
      <w:r>
        <w:rPr>
          <w:rFonts w:hint="eastAsia" w:ascii="微软雅黑" w:hAnsi="微软雅黑" w:eastAsia="微软雅黑" w:cs="宋体"/>
          <w:kern w:val="0"/>
          <w:sz w:val="22"/>
          <w:szCs w:val="22"/>
        </w:rPr>
        <w:t>新华制药（寿光）有限公司</w:t>
      </w:r>
      <w:r>
        <w:rPr>
          <w:rFonts w:hint="eastAsia" w:ascii="微软雅黑" w:hAnsi="微软雅黑" w:eastAsia="微软雅黑" w:cs="宋体"/>
          <w:color w:val="000000"/>
          <w:kern w:val="0"/>
          <w:sz w:val="22"/>
          <w:szCs w:val="22"/>
        </w:rPr>
        <w:t>　</w:t>
      </w:r>
    </w:p>
    <w:p w14:paraId="68154025">
      <w:pPr>
        <w:widowControl/>
        <w:shd w:val="clear" w:color="auto" w:fill="FFFFFF"/>
        <w:spacing w:line="489" w:lineRule="atLeast"/>
        <w:jc w:val="right"/>
        <w:rPr>
          <w:rFonts w:hint="eastAsia" w:ascii="微软雅黑" w:hAnsi="微软雅黑" w:eastAsia="微软雅黑" w:cs="宋体"/>
          <w:kern w:val="0"/>
          <w:sz w:val="22"/>
          <w:szCs w:val="22"/>
        </w:rPr>
      </w:pPr>
      <w:r>
        <w:rPr>
          <w:rFonts w:hint="eastAsia" w:ascii="微软雅黑" w:hAnsi="微软雅黑" w:eastAsia="微软雅黑" w:cs="宋体"/>
          <w:color w:val="000000"/>
          <w:kern w:val="0"/>
          <w:sz w:val="22"/>
          <w:szCs w:val="22"/>
        </w:rPr>
        <w:t>承诺时</w:t>
      </w:r>
      <w:r>
        <w:rPr>
          <w:rFonts w:hint="eastAsia" w:ascii="微软雅黑" w:hAnsi="微软雅黑" w:eastAsia="微软雅黑" w:cs="宋体"/>
          <w:kern w:val="0"/>
          <w:sz w:val="22"/>
          <w:szCs w:val="22"/>
        </w:rPr>
        <w:t>间：2025年4月1</w:t>
      </w:r>
      <w:r>
        <w:rPr>
          <w:rFonts w:hint="eastAsia" w:ascii="微软雅黑" w:hAnsi="微软雅黑" w:eastAsia="微软雅黑" w:cs="宋体"/>
          <w:kern w:val="0"/>
          <w:sz w:val="22"/>
          <w:szCs w:val="22"/>
          <w:lang w:val="en-US" w:eastAsia="zh-CN"/>
        </w:rPr>
        <w:t>7</w:t>
      </w:r>
      <w:r>
        <w:rPr>
          <w:rFonts w:hint="eastAsia" w:ascii="微软雅黑" w:hAnsi="微软雅黑" w:eastAsia="微软雅黑" w:cs="宋体"/>
          <w:kern w:val="0"/>
          <w:sz w:val="22"/>
          <w:szCs w:val="22"/>
        </w:rPr>
        <w:t>日</w:t>
      </w:r>
    </w:p>
    <w:p w14:paraId="124AB1C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033F4"/>
    <w:rsid w:val="00003796"/>
    <w:rsid w:val="000062E5"/>
    <w:rsid w:val="00036AAD"/>
    <w:rsid w:val="00066266"/>
    <w:rsid w:val="00082CAD"/>
    <w:rsid w:val="000A0AC1"/>
    <w:rsid w:val="000C55D1"/>
    <w:rsid w:val="000D143B"/>
    <w:rsid w:val="000D7451"/>
    <w:rsid w:val="000F36A6"/>
    <w:rsid w:val="001420DA"/>
    <w:rsid w:val="001478A1"/>
    <w:rsid w:val="0015122E"/>
    <w:rsid w:val="00154FA3"/>
    <w:rsid w:val="001829BE"/>
    <w:rsid w:val="001911AB"/>
    <w:rsid w:val="001929EC"/>
    <w:rsid w:val="001B5C63"/>
    <w:rsid w:val="0022466C"/>
    <w:rsid w:val="0024182C"/>
    <w:rsid w:val="002604AB"/>
    <w:rsid w:val="00284BAD"/>
    <w:rsid w:val="002D26EF"/>
    <w:rsid w:val="002D7187"/>
    <w:rsid w:val="002E1EEC"/>
    <w:rsid w:val="003033F4"/>
    <w:rsid w:val="0031100A"/>
    <w:rsid w:val="00356C33"/>
    <w:rsid w:val="0036235B"/>
    <w:rsid w:val="003C2948"/>
    <w:rsid w:val="003E2300"/>
    <w:rsid w:val="003E7DF8"/>
    <w:rsid w:val="003F0D70"/>
    <w:rsid w:val="00441BE6"/>
    <w:rsid w:val="00446AFB"/>
    <w:rsid w:val="004D0058"/>
    <w:rsid w:val="00500D02"/>
    <w:rsid w:val="00533D6F"/>
    <w:rsid w:val="00596160"/>
    <w:rsid w:val="00597E07"/>
    <w:rsid w:val="005A3BD9"/>
    <w:rsid w:val="005A7F5B"/>
    <w:rsid w:val="006479E2"/>
    <w:rsid w:val="006503CF"/>
    <w:rsid w:val="006A419D"/>
    <w:rsid w:val="006A4BF9"/>
    <w:rsid w:val="006A75E5"/>
    <w:rsid w:val="00704941"/>
    <w:rsid w:val="0070742C"/>
    <w:rsid w:val="0073207A"/>
    <w:rsid w:val="007431E1"/>
    <w:rsid w:val="00763CCF"/>
    <w:rsid w:val="00780C57"/>
    <w:rsid w:val="007F3242"/>
    <w:rsid w:val="0080178A"/>
    <w:rsid w:val="0084494B"/>
    <w:rsid w:val="00872F7B"/>
    <w:rsid w:val="008D06B3"/>
    <w:rsid w:val="0091450F"/>
    <w:rsid w:val="00964F91"/>
    <w:rsid w:val="00980D9E"/>
    <w:rsid w:val="009B3A15"/>
    <w:rsid w:val="00A41BDE"/>
    <w:rsid w:val="00A5552C"/>
    <w:rsid w:val="00A60C5C"/>
    <w:rsid w:val="00AB1065"/>
    <w:rsid w:val="00AF6473"/>
    <w:rsid w:val="00B85D96"/>
    <w:rsid w:val="00B92ABB"/>
    <w:rsid w:val="00B963B7"/>
    <w:rsid w:val="00BB3640"/>
    <w:rsid w:val="00BE0A5D"/>
    <w:rsid w:val="00BE20E2"/>
    <w:rsid w:val="00C127AC"/>
    <w:rsid w:val="00C20FE8"/>
    <w:rsid w:val="00C40DAD"/>
    <w:rsid w:val="00C70060"/>
    <w:rsid w:val="00C80627"/>
    <w:rsid w:val="00C86CDD"/>
    <w:rsid w:val="00C87032"/>
    <w:rsid w:val="00CA0908"/>
    <w:rsid w:val="00CB2379"/>
    <w:rsid w:val="00D010B5"/>
    <w:rsid w:val="00D24A2B"/>
    <w:rsid w:val="00D25412"/>
    <w:rsid w:val="00D62CBE"/>
    <w:rsid w:val="00DA1B62"/>
    <w:rsid w:val="00DC425C"/>
    <w:rsid w:val="00DF45DF"/>
    <w:rsid w:val="00E205B6"/>
    <w:rsid w:val="00E216DE"/>
    <w:rsid w:val="00E53D02"/>
    <w:rsid w:val="00E60A06"/>
    <w:rsid w:val="00EA1548"/>
    <w:rsid w:val="00EE2767"/>
    <w:rsid w:val="00F37B49"/>
    <w:rsid w:val="00F42787"/>
    <w:rsid w:val="00F4659C"/>
    <w:rsid w:val="00F46B9A"/>
    <w:rsid w:val="00F472E1"/>
    <w:rsid w:val="00F507BF"/>
    <w:rsid w:val="00F70881"/>
    <w:rsid w:val="2B753996"/>
    <w:rsid w:val="39DD63C9"/>
    <w:rsid w:val="6CF309F4"/>
    <w:rsid w:val="74A51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2"/>
    <w:qFormat/>
    <w:uiPriority w:val="0"/>
    <w:pPr>
      <w:keepNext/>
      <w:keepLines/>
      <w:spacing w:before="260" w:after="260" w:line="416" w:lineRule="auto"/>
      <w:outlineLvl w:val="2"/>
    </w:pPr>
    <w:rPr>
      <w:b/>
      <w:bCs/>
      <w:sz w:val="32"/>
      <w:szCs w:val="32"/>
    </w:rPr>
  </w:style>
  <w:style w:type="paragraph" w:styleId="5">
    <w:name w:val="heading 4"/>
    <w:basedOn w:val="1"/>
    <w:next w:val="1"/>
    <w:link w:val="2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4"/>
    <w:semiHidden/>
    <w:unhideWhenUsed/>
    <w:qFormat/>
    <w:uiPriority w:val="0"/>
    <w:pPr>
      <w:keepNext/>
      <w:keepLines/>
      <w:spacing w:before="280" w:after="290" w:line="376" w:lineRule="auto"/>
      <w:outlineLvl w:val="4"/>
    </w:pPr>
    <w:rPr>
      <w:b/>
      <w:bCs/>
      <w:sz w:val="28"/>
      <w:szCs w:val="28"/>
    </w:rPr>
  </w:style>
  <w:style w:type="paragraph" w:styleId="7">
    <w:name w:val="heading 7"/>
    <w:basedOn w:val="1"/>
    <w:next w:val="1"/>
    <w:link w:val="25"/>
    <w:semiHidden/>
    <w:unhideWhenUsed/>
    <w:qFormat/>
    <w:uiPriority w:val="0"/>
    <w:pPr>
      <w:keepNext/>
      <w:keepLines/>
      <w:spacing w:before="240" w:after="64" w:line="320" w:lineRule="auto"/>
      <w:outlineLvl w:val="6"/>
    </w:pPr>
    <w:rPr>
      <w:b/>
      <w:bCs/>
      <w:sz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27"/>
    <w:semiHidden/>
    <w:unhideWhenUsed/>
    <w:qFormat/>
    <w:uiPriority w:val="99"/>
    <w:rPr>
      <w:rFonts w:ascii="宋体"/>
      <w:sz w:val="18"/>
      <w:szCs w:val="18"/>
    </w:rPr>
  </w:style>
  <w:style w:type="paragraph" w:styleId="9">
    <w:name w:val="annotation text"/>
    <w:basedOn w:val="1"/>
    <w:link w:val="33"/>
    <w:unhideWhenUsed/>
    <w:qFormat/>
    <w:uiPriority w:val="99"/>
    <w:pPr>
      <w:jc w:val="left"/>
    </w:pPr>
  </w:style>
  <w:style w:type="paragraph" w:styleId="10">
    <w:name w:val="Balloon Text"/>
    <w:basedOn w:val="1"/>
    <w:link w:val="30"/>
    <w:semiHidden/>
    <w:unhideWhenUsed/>
    <w:qFormat/>
    <w:uiPriority w:val="99"/>
    <w:rPr>
      <w:sz w:val="18"/>
      <w:szCs w:val="18"/>
    </w:rPr>
  </w:style>
  <w:style w:type="paragraph" w:styleId="11">
    <w:name w:val="footer"/>
    <w:basedOn w:val="1"/>
    <w:link w:val="29"/>
    <w:unhideWhenUsed/>
    <w:qFormat/>
    <w:uiPriority w:val="99"/>
    <w:pPr>
      <w:tabs>
        <w:tab w:val="center" w:pos="4153"/>
        <w:tab w:val="right" w:pos="8306"/>
      </w:tabs>
      <w:snapToGrid w:val="0"/>
      <w:jc w:val="left"/>
    </w:pPr>
    <w:rPr>
      <w:sz w:val="18"/>
      <w:szCs w:val="18"/>
    </w:rPr>
  </w:style>
  <w:style w:type="paragraph" w:styleId="12">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32"/>
    <w:qFormat/>
    <w:uiPriority w:val="0"/>
    <w:pPr>
      <w:spacing w:before="240" w:after="60" w:line="312" w:lineRule="auto"/>
      <w:jc w:val="center"/>
      <w:outlineLvl w:val="1"/>
    </w:pPr>
    <w:rPr>
      <w:rFonts w:ascii="Cambria" w:hAnsi="Cambria"/>
      <w:b/>
      <w:bCs/>
      <w:kern w:val="28"/>
      <w:sz w:val="32"/>
      <w:szCs w:val="32"/>
    </w:rPr>
  </w:style>
  <w:style w:type="paragraph" w:styleId="14">
    <w:name w:val="annotation subject"/>
    <w:basedOn w:val="9"/>
    <w:next w:val="9"/>
    <w:link w:val="34"/>
    <w:semiHidden/>
    <w:unhideWhenUsed/>
    <w:qFormat/>
    <w:uiPriority w:val="99"/>
    <w:rPr>
      <w:b/>
      <w:bCs/>
    </w:rPr>
  </w:style>
  <w:style w:type="character" w:styleId="17">
    <w:name w:val="Strong"/>
    <w:qFormat/>
    <w:uiPriority w:val="22"/>
    <w:rPr>
      <w:b/>
      <w:bCs/>
    </w:rPr>
  </w:style>
  <w:style w:type="character" w:styleId="18">
    <w:name w:val="Emphasis"/>
    <w:qFormat/>
    <w:uiPriority w:val="0"/>
    <w:rPr>
      <w:color w:val="CC0000"/>
    </w:rPr>
  </w:style>
  <w:style w:type="character" w:styleId="19">
    <w:name w:val="annotation reference"/>
    <w:basedOn w:val="16"/>
    <w:semiHidden/>
    <w:unhideWhenUsed/>
    <w:qFormat/>
    <w:uiPriority w:val="99"/>
    <w:rPr>
      <w:sz w:val="21"/>
      <w:szCs w:val="21"/>
    </w:rPr>
  </w:style>
  <w:style w:type="character" w:customStyle="1" w:styleId="20">
    <w:name w:val="标题 1 字符"/>
    <w:basedOn w:val="16"/>
    <w:link w:val="2"/>
    <w:qFormat/>
    <w:uiPriority w:val="0"/>
    <w:rPr>
      <w:b/>
      <w:bCs/>
      <w:kern w:val="44"/>
      <w:sz w:val="44"/>
      <w:szCs w:val="44"/>
    </w:rPr>
  </w:style>
  <w:style w:type="character" w:customStyle="1" w:styleId="21">
    <w:name w:val="标题 2 字符"/>
    <w:basedOn w:val="16"/>
    <w:link w:val="3"/>
    <w:qFormat/>
    <w:uiPriority w:val="0"/>
    <w:rPr>
      <w:rFonts w:ascii="Arial" w:hAnsi="Arial" w:eastAsia="黑体"/>
      <w:b/>
      <w:bCs/>
      <w:kern w:val="2"/>
      <w:sz w:val="32"/>
      <w:szCs w:val="32"/>
    </w:rPr>
  </w:style>
  <w:style w:type="character" w:customStyle="1" w:styleId="22">
    <w:name w:val="标题 3 字符"/>
    <w:basedOn w:val="16"/>
    <w:link w:val="4"/>
    <w:qFormat/>
    <w:uiPriority w:val="0"/>
    <w:rPr>
      <w:b/>
      <w:bCs/>
      <w:kern w:val="2"/>
      <w:sz w:val="32"/>
      <w:szCs w:val="32"/>
    </w:rPr>
  </w:style>
  <w:style w:type="character" w:customStyle="1" w:styleId="23">
    <w:name w:val="标题 4 字符"/>
    <w:basedOn w:val="16"/>
    <w:link w:val="5"/>
    <w:qFormat/>
    <w:uiPriority w:val="0"/>
    <w:rPr>
      <w:rFonts w:ascii="Arial" w:hAnsi="Arial" w:eastAsia="黑体"/>
      <w:b/>
      <w:bCs/>
      <w:kern w:val="2"/>
      <w:sz w:val="28"/>
      <w:szCs w:val="28"/>
    </w:rPr>
  </w:style>
  <w:style w:type="character" w:customStyle="1" w:styleId="24">
    <w:name w:val="标题 5 字符"/>
    <w:basedOn w:val="16"/>
    <w:link w:val="6"/>
    <w:semiHidden/>
    <w:qFormat/>
    <w:uiPriority w:val="0"/>
    <w:rPr>
      <w:b/>
      <w:bCs/>
      <w:kern w:val="2"/>
      <w:sz w:val="28"/>
      <w:szCs w:val="28"/>
    </w:rPr>
  </w:style>
  <w:style w:type="character" w:customStyle="1" w:styleId="25">
    <w:name w:val="标题 7 字符"/>
    <w:link w:val="7"/>
    <w:semiHidden/>
    <w:qFormat/>
    <w:uiPriority w:val="0"/>
    <w:rPr>
      <w:b/>
      <w:bCs/>
      <w:kern w:val="2"/>
      <w:sz w:val="24"/>
      <w:szCs w:val="24"/>
    </w:rPr>
  </w:style>
  <w:style w:type="character" w:customStyle="1" w:styleId="26">
    <w:name w:val="标题 3 Char1"/>
    <w:qFormat/>
    <w:uiPriority w:val="0"/>
    <w:rPr>
      <w:rFonts w:eastAsia="宋体"/>
      <w:b/>
      <w:bCs/>
      <w:kern w:val="2"/>
      <w:sz w:val="32"/>
      <w:szCs w:val="32"/>
      <w:lang w:val="en-US" w:eastAsia="zh-CN" w:bidi="ar-SA"/>
    </w:rPr>
  </w:style>
  <w:style w:type="character" w:customStyle="1" w:styleId="27">
    <w:name w:val="文档结构图 字符"/>
    <w:basedOn w:val="16"/>
    <w:link w:val="8"/>
    <w:semiHidden/>
    <w:qFormat/>
    <w:uiPriority w:val="99"/>
    <w:rPr>
      <w:rFonts w:ascii="宋体"/>
      <w:kern w:val="2"/>
      <w:sz w:val="18"/>
      <w:szCs w:val="18"/>
    </w:rPr>
  </w:style>
  <w:style w:type="character" w:customStyle="1" w:styleId="28">
    <w:name w:val="页眉 字符"/>
    <w:basedOn w:val="16"/>
    <w:link w:val="12"/>
    <w:qFormat/>
    <w:uiPriority w:val="99"/>
    <w:rPr>
      <w:kern w:val="2"/>
      <w:sz w:val="18"/>
      <w:szCs w:val="18"/>
    </w:rPr>
  </w:style>
  <w:style w:type="character" w:customStyle="1" w:styleId="29">
    <w:name w:val="页脚 字符"/>
    <w:basedOn w:val="16"/>
    <w:link w:val="11"/>
    <w:qFormat/>
    <w:uiPriority w:val="99"/>
    <w:rPr>
      <w:kern w:val="2"/>
      <w:sz w:val="18"/>
      <w:szCs w:val="18"/>
    </w:rPr>
  </w:style>
  <w:style w:type="character" w:customStyle="1" w:styleId="30">
    <w:name w:val="批注框文本 字符"/>
    <w:basedOn w:val="16"/>
    <w:link w:val="10"/>
    <w:semiHidden/>
    <w:qFormat/>
    <w:uiPriority w:val="99"/>
    <w:rPr>
      <w:kern w:val="2"/>
      <w:sz w:val="18"/>
      <w:szCs w:val="18"/>
    </w:rPr>
  </w:style>
  <w:style w:type="character" w:customStyle="1" w:styleId="31">
    <w:name w:val="副标题 字符"/>
    <w:basedOn w:val="16"/>
    <w:qFormat/>
    <w:uiPriority w:val="0"/>
    <w:rPr>
      <w:rFonts w:asciiTheme="minorHAnsi" w:hAnsiTheme="minorHAnsi" w:eastAsiaTheme="minorEastAsia" w:cstheme="minorBidi"/>
      <w:b/>
      <w:bCs/>
      <w:kern w:val="28"/>
      <w:sz w:val="32"/>
      <w:szCs w:val="32"/>
    </w:rPr>
  </w:style>
  <w:style w:type="character" w:customStyle="1" w:styleId="32">
    <w:name w:val="副标题 字符1"/>
    <w:basedOn w:val="16"/>
    <w:link w:val="13"/>
    <w:qFormat/>
    <w:uiPriority w:val="0"/>
    <w:rPr>
      <w:rFonts w:ascii="Cambria" w:hAnsi="Cambria"/>
      <w:b/>
      <w:bCs/>
      <w:kern w:val="28"/>
      <w:sz w:val="32"/>
      <w:szCs w:val="32"/>
    </w:rPr>
  </w:style>
  <w:style w:type="character" w:customStyle="1" w:styleId="33">
    <w:name w:val="批注文字 字符"/>
    <w:basedOn w:val="16"/>
    <w:link w:val="9"/>
    <w:qFormat/>
    <w:uiPriority w:val="99"/>
    <w:rPr>
      <w:kern w:val="2"/>
      <w:sz w:val="21"/>
      <w:szCs w:val="24"/>
    </w:rPr>
  </w:style>
  <w:style w:type="character" w:customStyle="1" w:styleId="34">
    <w:name w:val="批注主题 字符"/>
    <w:basedOn w:val="33"/>
    <w:link w:val="14"/>
    <w:semiHidden/>
    <w:qFormat/>
    <w:uiPriority w:val="99"/>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 (Beijing) Limited</Company>
  <Pages>9</Pages>
  <Words>1412</Words>
  <Characters>1568</Characters>
  <Lines>12</Lines>
  <Paragraphs>3</Paragraphs>
  <TotalTime>322</TotalTime>
  <ScaleCrop>false</ScaleCrop>
  <LinksUpToDate>false</LinksUpToDate>
  <CharactersWithSpaces>1658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2018-10-29T02:47:00Z</dcterms:created>
  <dc:creator>Lenovo User</dc:creator>
  <cp:lastModifiedBy>张安荣</cp:lastModifiedBy>
  <dcterms:modified xsi:type="dcterms:W3CDTF">2025-04-18T23:55:20Z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eyJoZGlkIjoiYjkzMzg4MjJjYzE5Yjk0MWE5MjA5MWE1MmQ5YTQ5NjkiLCJ1c2VySWQiOiI0Mjk3OTk0ODkifQ==</vt:lpwstr>
  </property>
  <property fmtid="{D5CDD505-2E9C-101B-9397-08002B2CF9AE}" pid="3" name="KSOProductBuildVer">
    <vt:lpwstr>2052-12.1.0.20784</vt:lpwstr>
  </property>
  <property fmtid="{D5CDD505-2E9C-101B-9397-08002B2CF9AE}" pid="4" name="ICV">
    <vt:lpwstr>77F6307B8C7843DC8DB237987A690923_12</vt:lpwstr>
  </property>
</Properties>
</file>